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4" w:rsidRDefault="007F0534">
      <w:r>
        <w:t>от 15.11.2017</w:t>
      </w:r>
    </w:p>
    <w:p w:rsidR="007F0534" w:rsidRDefault="007F0534"/>
    <w:p w:rsidR="007F0534" w:rsidRDefault="007F053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«Электрогарант» ИНН 7708783560</w:t>
      </w:r>
    </w:p>
    <w:p w:rsidR="007F0534" w:rsidRDefault="007F0534">
      <w:r>
        <w:t>Общество с ограниченной ответственностью «ГлавЛабГрупп» ИНН 7709476392</w:t>
      </w:r>
    </w:p>
    <w:p w:rsidR="007F0534" w:rsidRDefault="007F053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0534"/>
    <w:rsid w:val="00045D12"/>
    <w:rsid w:val="0052439B"/>
    <w:rsid w:val="007F053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